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DE" w:rsidRDefault="007E15DE" w:rsidP="004303B8">
      <w:pPr>
        <w:jc w:val="both"/>
        <w:rPr>
          <w:b/>
        </w:rPr>
      </w:pPr>
    </w:p>
    <w:p w:rsidR="00F86C61" w:rsidRPr="000F582B" w:rsidRDefault="004303B8" w:rsidP="004303B8">
      <w:pPr>
        <w:jc w:val="both"/>
      </w:pPr>
      <w:r w:rsidRPr="000F582B">
        <w:rPr>
          <w:b/>
        </w:rPr>
        <w:t>BELASTING OP DE AAN</w:t>
      </w:r>
      <w:r w:rsidR="007E15DE">
        <w:rPr>
          <w:b/>
        </w:rPr>
        <w:t>VRAGEN VOOR HET BEKOMEN VAN EEN </w:t>
      </w:r>
      <w:r w:rsidRPr="000F582B">
        <w:rPr>
          <w:b/>
        </w:rPr>
        <w:t>OMGEVINGSVERGUNNING OF OP DE MELDING VAN STEDENBOUWKUNDIGE HANDELINGEN, HET EXPLOITEREN OF VERANDEREN VAN INGEDEELDE INRICH</w:t>
      </w:r>
      <w:r w:rsidR="007E15DE">
        <w:rPr>
          <w:b/>
        </w:rPr>
        <w:t xml:space="preserve">TINGEN OF ACTIVITEITEN (IIOA). </w:t>
      </w:r>
      <w:r w:rsidRPr="000F582B">
        <w:rPr>
          <w:b/>
        </w:rPr>
        <w:t>GOEDKEURING.</w:t>
      </w:r>
    </w:p>
    <w:p w:rsidR="00A942B6" w:rsidRPr="000F582B" w:rsidRDefault="00C062FB" w:rsidP="00F86C61"/>
    <w:p w:rsidR="007E15DE" w:rsidRPr="00213212" w:rsidRDefault="007E15DE" w:rsidP="007E15DE">
      <w:pPr>
        <w:rPr>
          <w:b/>
        </w:rPr>
      </w:pPr>
      <w:r w:rsidRPr="00213212">
        <w:rPr>
          <w:b/>
        </w:rPr>
        <w:t>Goedgekeurd door de gemeenteraad op 27 mei 2019.</w:t>
      </w:r>
    </w:p>
    <w:p w:rsidR="004303B8" w:rsidRPr="000F582B" w:rsidRDefault="004303B8" w:rsidP="004303B8">
      <w:pPr>
        <w:jc w:val="both"/>
      </w:pPr>
    </w:p>
    <w:p w:rsidR="007E15DE" w:rsidRDefault="007E15DE">
      <w:pPr>
        <w:rPr>
          <w:b/>
        </w:rPr>
      </w:pPr>
    </w:p>
    <w:p w:rsidR="00EC2E61" w:rsidRDefault="004303B8" w:rsidP="007E15DE">
      <w:pPr>
        <w:jc w:val="both"/>
        <w:rPr>
          <w:b/>
        </w:rPr>
      </w:pPr>
      <w:r>
        <w:rPr>
          <w:b/>
        </w:rPr>
        <w:t>Artikel 1</w:t>
      </w:r>
    </w:p>
    <w:p w:rsidR="00EC2E61" w:rsidRDefault="004303B8" w:rsidP="007E15DE">
      <w:pPr>
        <w:jc w:val="both"/>
      </w:pPr>
      <w:r>
        <w:t>§1. Er wordt, voor een termijn ingaand op 1 juni 2019 en</w:t>
      </w:r>
      <w:r w:rsidR="007E15DE">
        <w:t xml:space="preserve"> eindigend op 31 december 2021,</w:t>
      </w:r>
      <w:r>
        <w:t xml:space="preserve"> een belasting gevestigd op de aanvragen tot omgevingsvergunning voor of de meldingen in toepassing van het omgevingsvergunningsdecreet. De belasting wordt als volgt vastgesteld:</w:t>
      </w:r>
    </w:p>
    <w:p w:rsidR="00EC2E61" w:rsidRDefault="004303B8" w:rsidP="007E15DE">
      <w:pPr>
        <w:jc w:val="both"/>
      </w:pPr>
      <w:r>
        <w:t>a) Dossiers waarvoor de gemeente vergunningverlenende overheid is:</w:t>
      </w:r>
    </w:p>
    <w:p w:rsidR="007E15DE" w:rsidRDefault="004303B8" w:rsidP="007E15DE">
      <w:pPr>
        <w:pStyle w:val="Lijstalinea"/>
        <w:numPr>
          <w:ilvl w:val="0"/>
          <w:numId w:val="2"/>
        </w:numPr>
        <w:jc w:val="both"/>
      </w:pPr>
      <w:r>
        <w:t>Aanvraag eenvoudige procedure voor het bekomen van een  omgevingsvergunning: 80 euro</w:t>
      </w:r>
      <w:r w:rsidR="007E15DE">
        <w:t>.</w:t>
      </w:r>
    </w:p>
    <w:p w:rsidR="007E15DE" w:rsidRDefault="004303B8" w:rsidP="007E15DE">
      <w:pPr>
        <w:pStyle w:val="Lijstalinea"/>
        <w:numPr>
          <w:ilvl w:val="0"/>
          <w:numId w:val="2"/>
        </w:numPr>
        <w:jc w:val="both"/>
      </w:pPr>
      <w:r>
        <w:t>Aanvraag gewone procedure voor het bekomen v</w:t>
      </w:r>
      <w:r w:rsidR="007E15DE">
        <w:t>an een omgevingsvergunning: 160 </w:t>
      </w:r>
      <w:r>
        <w:t>euro</w:t>
      </w:r>
      <w:r w:rsidR="007E15DE">
        <w:t>.</w:t>
      </w:r>
    </w:p>
    <w:p w:rsidR="00EC2E61" w:rsidRDefault="004303B8" w:rsidP="007E15DE">
      <w:pPr>
        <w:pStyle w:val="Lijstalinea"/>
        <w:numPr>
          <w:ilvl w:val="0"/>
          <w:numId w:val="2"/>
        </w:numPr>
        <w:jc w:val="both"/>
      </w:pPr>
      <w:r>
        <w:t>Aanvraag tot verkavelen van gronden:</w:t>
      </w:r>
    </w:p>
    <w:p w:rsidR="007E15DE" w:rsidRDefault="004303B8" w:rsidP="007E15DE">
      <w:pPr>
        <w:pStyle w:val="Lijstalinea"/>
        <w:numPr>
          <w:ilvl w:val="0"/>
          <w:numId w:val="3"/>
        </w:numPr>
        <w:jc w:val="both"/>
      </w:pPr>
      <w:r>
        <w:t>z</w:t>
      </w:r>
      <w:r w:rsidR="007E15DE">
        <w:t xml:space="preserve">onder wegenisaanleg; per kavel: </w:t>
      </w:r>
      <w:r>
        <w:t>80 euro</w:t>
      </w:r>
      <w:r w:rsidR="007E15DE">
        <w:t>.</w:t>
      </w:r>
    </w:p>
    <w:p w:rsidR="007E15DE" w:rsidRDefault="004303B8" w:rsidP="007E15DE">
      <w:pPr>
        <w:pStyle w:val="Lijstalinea"/>
        <w:numPr>
          <w:ilvl w:val="0"/>
          <w:numId w:val="3"/>
        </w:numPr>
        <w:jc w:val="both"/>
      </w:pPr>
      <w:r>
        <w:t>met wegenisaanleg; per kavel:</w:t>
      </w:r>
      <w:r w:rsidR="007E15DE">
        <w:t xml:space="preserve"> </w:t>
      </w:r>
      <w:r>
        <w:t>160 euro</w:t>
      </w:r>
      <w:r w:rsidR="007E15DE">
        <w:t>.</w:t>
      </w:r>
    </w:p>
    <w:p w:rsidR="007E15DE" w:rsidRDefault="004303B8" w:rsidP="007E15DE">
      <w:pPr>
        <w:pStyle w:val="Lijstalinea"/>
        <w:numPr>
          <w:ilvl w:val="0"/>
          <w:numId w:val="3"/>
        </w:numPr>
        <w:jc w:val="both"/>
      </w:pPr>
      <w:r>
        <w:t>bijstelling van de verkavelingsvergunning</w:t>
      </w:r>
      <w:r w:rsidR="007E15DE">
        <w:t xml:space="preserve"> </w:t>
      </w:r>
      <w:r>
        <w:t>z</w:t>
      </w:r>
      <w:r w:rsidR="007E15DE">
        <w:t>onder nieuwe wegenisaanleg; per </w:t>
      </w:r>
      <w:r>
        <w:t>kavel: 80 euro</w:t>
      </w:r>
      <w:r w:rsidR="007E15DE">
        <w:t>.</w:t>
      </w:r>
    </w:p>
    <w:p w:rsidR="007E15DE" w:rsidRDefault="004303B8" w:rsidP="007E15DE">
      <w:pPr>
        <w:pStyle w:val="Lijstalinea"/>
        <w:numPr>
          <w:ilvl w:val="0"/>
          <w:numId w:val="3"/>
        </w:numPr>
        <w:jc w:val="both"/>
      </w:pPr>
      <w:r>
        <w:t>bijstelling van de verkavelingsvergunning</w:t>
      </w:r>
      <w:r w:rsidR="007E15DE">
        <w:t xml:space="preserve"> met nieuwe wegenisaanleg; per </w:t>
      </w:r>
      <w:r>
        <w:t>kavel: 80 euro</w:t>
      </w:r>
      <w:r w:rsidR="007E15DE">
        <w:t>.</w:t>
      </w:r>
    </w:p>
    <w:p w:rsidR="00EC2E61" w:rsidRDefault="004303B8" w:rsidP="007E15DE">
      <w:pPr>
        <w:pStyle w:val="Lijstalinea"/>
        <w:numPr>
          <w:ilvl w:val="0"/>
          <w:numId w:val="2"/>
        </w:numPr>
        <w:jc w:val="both"/>
      </w:pPr>
      <w:r>
        <w:t>Melding van:</w:t>
      </w:r>
    </w:p>
    <w:p w:rsidR="007E15DE" w:rsidRDefault="007E15DE" w:rsidP="007E15DE">
      <w:pPr>
        <w:pStyle w:val="Lijstalinea"/>
        <w:numPr>
          <w:ilvl w:val="0"/>
          <w:numId w:val="5"/>
        </w:numPr>
        <w:jc w:val="both"/>
      </w:pPr>
      <w:r>
        <w:t xml:space="preserve">stedenbouwkundige handelingen: </w:t>
      </w:r>
      <w:r w:rsidR="004303B8">
        <w:t>80 euro</w:t>
      </w:r>
      <w:r>
        <w:t>.</w:t>
      </w:r>
    </w:p>
    <w:p w:rsidR="007E15DE" w:rsidRDefault="004303B8" w:rsidP="007E15DE">
      <w:pPr>
        <w:pStyle w:val="Lijstalinea"/>
        <w:numPr>
          <w:ilvl w:val="0"/>
          <w:numId w:val="5"/>
        </w:numPr>
        <w:jc w:val="both"/>
      </w:pPr>
      <w:r>
        <w:t>IIOA of gemengd project: 80 euro</w:t>
      </w:r>
      <w:r w:rsidR="007E15DE">
        <w:t>.</w:t>
      </w:r>
    </w:p>
    <w:p w:rsidR="007E15DE" w:rsidRDefault="004303B8" w:rsidP="007E15DE">
      <w:pPr>
        <w:pStyle w:val="Lijstalinea"/>
        <w:numPr>
          <w:ilvl w:val="0"/>
          <w:numId w:val="2"/>
        </w:numPr>
        <w:jc w:val="both"/>
      </w:pPr>
      <w:r>
        <w:t>Mededeling met vraag tot omzetting van milieuvergunning naar permanente omgevingsvergunning: 80 euro</w:t>
      </w:r>
      <w:r w:rsidR="007E15DE">
        <w:t>.</w:t>
      </w:r>
    </w:p>
    <w:p w:rsidR="007E15DE" w:rsidRDefault="004303B8" w:rsidP="007E15DE">
      <w:pPr>
        <w:pStyle w:val="Lijstalinea"/>
        <w:numPr>
          <w:ilvl w:val="0"/>
          <w:numId w:val="2"/>
        </w:numPr>
        <w:jc w:val="both"/>
      </w:pPr>
      <w:r>
        <w:t xml:space="preserve">Omzetting omgevingsvergunning na klassenverhoging </w:t>
      </w:r>
      <w:r w:rsidR="007E15DE">
        <w:t>door wijziging van de </w:t>
      </w:r>
      <w:r>
        <w:t>indelingslijst: 80 euro</w:t>
      </w:r>
      <w:r w:rsidR="007E15DE">
        <w:t>.</w:t>
      </w:r>
    </w:p>
    <w:p w:rsidR="007E15DE" w:rsidRDefault="004303B8" w:rsidP="007E15DE">
      <w:pPr>
        <w:pStyle w:val="Lijstalinea"/>
        <w:numPr>
          <w:ilvl w:val="0"/>
          <w:numId w:val="2"/>
        </w:numPr>
        <w:jc w:val="both"/>
      </w:pPr>
      <w:r>
        <w:t>Aanvraag van een planologisch attest: 500 euro</w:t>
      </w:r>
      <w:r w:rsidR="007E15DE">
        <w:t>.</w:t>
      </w:r>
    </w:p>
    <w:p w:rsidR="007E15DE" w:rsidRDefault="004303B8" w:rsidP="007E15DE">
      <w:pPr>
        <w:pStyle w:val="Lijstalinea"/>
        <w:numPr>
          <w:ilvl w:val="0"/>
          <w:numId w:val="2"/>
        </w:numPr>
        <w:jc w:val="both"/>
      </w:pPr>
      <w:r>
        <w:t>Aanvraag van een stedenbouwkundig attest: 80 euro</w:t>
      </w:r>
      <w:r w:rsidR="007E15DE">
        <w:t>.</w:t>
      </w:r>
    </w:p>
    <w:p w:rsidR="007E15DE" w:rsidRDefault="004303B8" w:rsidP="007E15DE">
      <w:pPr>
        <w:pStyle w:val="Lijstalinea"/>
        <w:numPr>
          <w:ilvl w:val="0"/>
          <w:numId w:val="2"/>
        </w:numPr>
        <w:jc w:val="both"/>
      </w:pPr>
      <w:r>
        <w:t>Regularisatieaanvraag eenvoudige pro</w:t>
      </w:r>
      <w:r w:rsidR="007E15DE">
        <w:t>cedure voor het bekomen van een </w:t>
      </w:r>
      <w:r>
        <w:t>omgevingsvergunning of voor de regularisatie door middel van melding zonder de verplichte medewerking van een architect: 250 euro</w:t>
      </w:r>
      <w:r w:rsidR="007E15DE">
        <w:t>.</w:t>
      </w:r>
    </w:p>
    <w:p w:rsidR="00EC2E61" w:rsidRDefault="004303B8" w:rsidP="007E15DE">
      <w:pPr>
        <w:pStyle w:val="Lijstalinea"/>
        <w:numPr>
          <w:ilvl w:val="0"/>
          <w:numId w:val="2"/>
        </w:numPr>
        <w:jc w:val="both"/>
      </w:pPr>
      <w:r>
        <w:t>Regularisatieaanvraag gewone pro</w:t>
      </w:r>
      <w:r w:rsidR="007E15DE">
        <w:t>cedure voor het bekomen van een </w:t>
      </w:r>
      <w:r>
        <w:t>omgevingsvergunning of voor de regularisatie</w:t>
      </w:r>
      <w:r w:rsidR="007E15DE">
        <w:t xml:space="preserve"> door middel van melding met de </w:t>
      </w:r>
      <w:r>
        <w:t>verplichte medewerking van een architect: 500 euro</w:t>
      </w:r>
      <w:r w:rsidR="007E15DE">
        <w:t>.</w:t>
      </w:r>
    </w:p>
    <w:p w:rsidR="00EC2E61" w:rsidRDefault="00EC2E61" w:rsidP="007E15DE">
      <w:pPr>
        <w:jc w:val="both"/>
      </w:pPr>
    </w:p>
    <w:p w:rsidR="00EC2E61" w:rsidRDefault="004303B8" w:rsidP="007E15DE">
      <w:pPr>
        <w:pStyle w:val="Lijstalinea"/>
        <w:numPr>
          <w:ilvl w:val="0"/>
          <w:numId w:val="9"/>
        </w:numPr>
        <w:ind w:left="284" w:hanging="284"/>
        <w:jc w:val="both"/>
      </w:pPr>
      <w:r>
        <w:t>Dossiers waarvoor de provincie of de Vlaamse overhei</w:t>
      </w:r>
      <w:r w:rsidR="007E15DE">
        <w:t>d vergunningverlenende overheid </w:t>
      </w:r>
      <w:r>
        <w:t>is:</w:t>
      </w:r>
    </w:p>
    <w:p w:rsidR="007E15DE" w:rsidRDefault="004303B8" w:rsidP="007E15DE">
      <w:pPr>
        <w:pStyle w:val="Lijstalinea"/>
        <w:numPr>
          <w:ilvl w:val="0"/>
          <w:numId w:val="10"/>
        </w:numPr>
        <w:jc w:val="both"/>
      </w:pPr>
      <w:r>
        <w:t>Aanvraag eenvoudige procedure voor het bekomen van een omgevingsvergunning: 160 euro</w:t>
      </w:r>
      <w:r w:rsidR="007E15DE">
        <w:t>.</w:t>
      </w:r>
    </w:p>
    <w:p w:rsidR="007E15DE" w:rsidRDefault="004303B8" w:rsidP="007E15DE">
      <w:pPr>
        <w:pStyle w:val="Lijstalinea"/>
        <w:numPr>
          <w:ilvl w:val="0"/>
          <w:numId w:val="10"/>
        </w:numPr>
        <w:jc w:val="both"/>
      </w:pPr>
      <w:r>
        <w:t>Aanvraag gewone procedure voor het bekomen v</w:t>
      </w:r>
      <w:r w:rsidR="007E15DE">
        <w:t>an een omgevingsvergunning: 320 </w:t>
      </w:r>
      <w:r>
        <w:t>euro</w:t>
      </w:r>
      <w:r w:rsidR="007E15DE">
        <w:t>.</w:t>
      </w:r>
    </w:p>
    <w:p w:rsidR="00EC2E61" w:rsidRDefault="004303B8" w:rsidP="007E15DE">
      <w:pPr>
        <w:pStyle w:val="Lijstalinea"/>
        <w:numPr>
          <w:ilvl w:val="0"/>
          <w:numId w:val="10"/>
        </w:numPr>
        <w:jc w:val="both"/>
      </w:pPr>
      <w:r>
        <w:t>Aanvraag gewone procedure voor het bekomen van een omgevingsvergunning, onderworpen aan een milieueffectenrapport of veiligheidsrapport: 320 euro</w:t>
      </w:r>
      <w:r w:rsidR="007E15DE">
        <w:t>.</w:t>
      </w:r>
    </w:p>
    <w:p w:rsidR="00EC2E61" w:rsidRDefault="004303B8" w:rsidP="007E15DE">
      <w:pPr>
        <w:jc w:val="both"/>
      </w:pPr>
      <w:r>
        <w:tab/>
      </w:r>
      <w:r>
        <w:tab/>
      </w:r>
    </w:p>
    <w:p w:rsidR="00633905" w:rsidRDefault="00633905">
      <w:r>
        <w:br w:type="page"/>
      </w:r>
    </w:p>
    <w:p w:rsidR="00EC2E61" w:rsidRDefault="004303B8" w:rsidP="007E15DE">
      <w:pPr>
        <w:jc w:val="both"/>
      </w:pPr>
      <w:r>
        <w:lastRenderedPageBreak/>
        <w:t xml:space="preserve">§2. De belasting is verschuldigd door de exploitant van </w:t>
      </w:r>
      <w:r w:rsidR="007E15DE">
        <w:t>de IIOA of de opdrachtgever die </w:t>
      </w:r>
      <w:r>
        <w:t xml:space="preserve">gehouden is tot het indienen van de aanvraag of melding. </w:t>
      </w:r>
    </w:p>
    <w:p w:rsidR="00EC2E61" w:rsidRDefault="00EC2E61" w:rsidP="007E15DE">
      <w:pPr>
        <w:jc w:val="both"/>
      </w:pPr>
    </w:p>
    <w:p w:rsidR="00EC2E61" w:rsidRDefault="004303B8" w:rsidP="007E15DE">
      <w:pPr>
        <w:jc w:val="both"/>
      </w:pPr>
      <w:r>
        <w:t>§3. Voor</w:t>
      </w:r>
      <w:r w:rsidR="007E15DE">
        <w:t xml:space="preserve"> de aanvragen vermeld onder §1 </w:t>
      </w:r>
      <w:r>
        <w:t xml:space="preserve">wordt, indien nodig, een hydraulisch advies aan </w:t>
      </w:r>
      <w:proofErr w:type="spellStart"/>
      <w:r>
        <w:t>Aquafin</w:t>
      </w:r>
      <w:proofErr w:type="spellEnd"/>
      <w:r>
        <w:t xml:space="preserve"> gevraagd. De kosten voor dit hydraulisch adv</w:t>
      </w:r>
      <w:r w:rsidR="007E15DE">
        <w:t>ies wordt afgestemd op de reële </w:t>
      </w:r>
      <w:r>
        <w:t>kosten. Deze kost is verschuldigd door de exploitant van de IIOA of de</w:t>
      </w:r>
      <w:r w:rsidR="007E15DE">
        <w:t> </w:t>
      </w:r>
      <w:r>
        <w:t>opdrachtgever die gehouden is tot het indienen van de aanvraag.</w:t>
      </w:r>
    </w:p>
    <w:p w:rsidR="00EC2E61" w:rsidRDefault="00EC2E61" w:rsidP="007E15DE">
      <w:pPr>
        <w:jc w:val="both"/>
      </w:pPr>
    </w:p>
    <w:p w:rsidR="00EC2E61" w:rsidRDefault="004303B8" w:rsidP="007E15DE">
      <w:pPr>
        <w:jc w:val="both"/>
      </w:pPr>
      <w:r>
        <w:t>§4. Voor de aanvragen vermeld onder §1 wordt indien nodig een openbaar onderzoek georganiseerd. De kosten voor dit openbaar onderz</w:t>
      </w:r>
      <w:r w:rsidR="00E164F5">
        <w:t>oek wordt afgestemd op de reële </w:t>
      </w:r>
      <w:r>
        <w:t xml:space="preserve">kosten. Deze kost is verschuldigd door </w:t>
      </w:r>
      <w:r w:rsidR="00E164F5">
        <w:t>de exploitant van de IIOA of de </w:t>
      </w:r>
      <w:r>
        <w:t>opdrachtgever die gehouden is tot het indienen van de aanvraag.</w:t>
      </w:r>
    </w:p>
    <w:p w:rsidR="00EC2E61" w:rsidRDefault="00EC2E61" w:rsidP="007E15DE">
      <w:pPr>
        <w:jc w:val="both"/>
      </w:pPr>
    </w:p>
    <w:p w:rsidR="00EC2E61" w:rsidRDefault="004303B8" w:rsidP="007E15DE">
      <w:pPr>
        <w:jc w:val="both"/>
      </w:pPr>
      <w:r>
        <w:t>§5. Voor de aanvragen vermeld onder §1 wordt een bijkomende belasting gevestigd van 160 euro voor de toepassing van een administratieve lus naar aanleiding van adviezen of opmerkingen en/of bezwaren geformuleerd tijdens het openbaar onderzoek.</w:t>
      </w:r>
    </w:p>
    <w:p w:rsidR="00EC2E61" w:rsidRDefault="004303B8" w:rsidP="007E15DE">
      <w:pPr>
        <w:jc w:val="both"/>
      </w:pPr>
      <w:r>
        <w:tab/>
      </w:r>
    </w:p>
    <w:p w:rsidR="00EC2E61" w:rsidRDefault="004303B8" w:rsidP="007E15DE">
      <w:pPr>
        <w:jc w:val="both"/>
      </w:pPr>
      <w:r>
        <w:t>§6. Voor de aanvragen of meldingen vermeld onder §1 wordt een bijkomende belasting gevestigd van 100 euro wanneer die analoog ingediend werden.</w:t>
      </w:r>
    </w:p>
    <w:p w:rsidR="00EC2E61" w:rsidRDefault="00EC2E61" w:rsidP="007E15DE">
      <w:pPr>
        <w:jc w:val="both"/>
      </w:pPr>
    </w:p>
    <w:p w:rsidR="00EC2E61" w:rsidRDefault="004303B8" w:rsidP="007E15DE">
      <w:pPr>
        <w:jc w:val="both"/>
      </w:pPr>
      <w:r>
        <w:t>§7. Zijn van de belasting vrijgesteld:</w:t>
      </w:r>
    </w:p>
    <w:p w:rsidR="00E164F5" w:rsidRDefault="004303B8" w:rsidP="007E15DE">
      <w:pPr>
        <w:pStyle w:val="Lijstalinea"/>
        <w:numPr>
          <w:ilvl w:val="0"/>
          <w:numId w:val="11"/>
        </w:numPr>
        <w:jc w:val="both"/>
      </w:pPr>
      <w:r>
        <w:t xml:space="preserve">Aanvragen en meldingen van het eigen gemeentebestuur, intergemeentelijke samenwerkingsverbanden, de politiezone, welzijnsinstellingen zonder winstoogmerk en beschutte werkplaatsen. </w:t>
      </w:r>
    </w:p>
    <w:p w:rsidR="00E164F5" w:rsidRDefault="004303B8" w:rsidP="007E15DE">
      <w:pPr>
        <w:pStyle w:val="Lijstalinea"/>
        <w:numPr>
          <w:ilvl w:val="0"/>
          <w:numId w:val="11"/>
        </w:numPr>
        <w:jc w:val="both"/>
      </w:pPr>
      <w:r>
        <w:t>Sociale huisvestingsmaatschappijen</w:t>
      </w:r>
      <w:r w:rsidR="00E164F5">
        <w:t>.</w:t>
      </w:r>
    </w:p>
    <w:p w:rsidR="00E164F5" w:rsidRDefault="004303B8" w:rsidP="007E15DE">
      <w:pPr>
        <w:pStyle w:val="Lijstalinea"/>
        <w:numPr>
          <w:ilvl w:val="0"/>
          <w:numId w:val="11"/>
        </w:numPr>
        <w:jc w:val="both"/>
      </w:pPr>
      <w:r>
        <w:t>Meldingen van overname en naamswijzigingen.</w:t>
      </w:r>
    </w:p>
    <w:p w:rsidR="00EC2E61" w:rsidRDefault="004303B8" w:rsidP="007E15DE">
      <w:pPr>
        <w:pStyle w:val="Lijstalinea"/>
        <w:numPr>
          <w:ilvl w:val="0"/>
          <w:numId w:val="11"/>
        </w:numPr>
        <w:jc w:val="both"/>
      </w:pPr>
      <w:r>
        <w:t>Tijdelijke inrichtingen.</w:t>
      </w:r>
    </w:p>
    <w:p w:rsidR="00EC2E61" w:rsidRDefault="004303B8" w:rsidP="007E15DE">
      <w:pPr>
        <w:jc w:val="both"/>
      </w:pPr>
      <w:r>
        <w:t>De vrijstellingen stellen de aanvrager niet vrij van de betaling van overige belastingen.</w:t>
      </w:r>
    </w:p>
    <w:p w:rsidR="00EC2E61" w:rsidRDefault="00EC2E61" w:rsidP="007E15DE">
      <w:pPr>
        <w:jc w:val="both"/>
      </w:pPr>
    </w:p>
    <w:p w:rsidR="00EC2E61" w:rsidRDefault="004303B8" w:rsidP="007E15DE">
      <w:pPr>
        <w:jc w:val="both"/>
      </w:pPr>
      <w:r>
        <w:t xml:space="preserve">§8. Zijn van de betaling van de  regularisatiebelasting vrijgesteld: </w:t>
      </w:r>
    </w:p>
    <w:p w:rsidR="00E164F5" w:rsidRDefault="004303B8" w:rsidP="007E15DE">
      <w:pPr>
        <w:pStyle w:val="Lijstalinea"/>
        <w:numPr>
          <w:ilvl w:val="0"/>
          <w:numId w:val="12"/>
        </w:numPr>
        <w:jc w:val="both"/>
      </w:pPr>
      <w:r>
        <w:t>Aanvragen of meldingen waarbij de plannen fundamenteel wijzigen t.o.v. een niet uitgevoerde vergunning waardoor ze als een volledig nieuwe aa</w:t>
      </w:r>
      <w:r w:rsidR="00E164F5">
        <w:t>nvraag kunnen worden beschouwd.</w:t>
      </w:r>
    </w:p>
    <w:p w:rsidR="00E164F5" w:rsidRDefault="004303B8" w:rsidP="007E15DE">
      <w:pPr>
        <w:pStyle w:val="Lijstalinea"/>
        <w:numPr>
          <w:ilvl w:val="0"/>
          <w:numId w:val="12"/>
        </w:numPr>
        <w:jc w:val="both"/>
      </w:pPr>
      <w:r>
        <w:t>Aanvragen of meldingen waarbij de te regularisere</w:t>
      </w:r>
      <w:r w:rsidR="00E164F5">
        <w:t>n zaken een gevolg zijn van een </w:t>
      </w:r>
      <w:r>
        <w:t>probleem van stabiliteit. Een grondige motivatie</w:t>
      </w:r>
      <w:r w:rsidR="00E164F5">
        <w:t xml:space="preserve"> van de architect dient bij het </w:t>
      </w:r>
      <w:r>
        <w:t xml:space="preserve">regularisatiedossier te worden gevoegd. </w:t>
      </w:r>
    </w:p>
    <w:p w:rsidR="00E164F5" w:rsidRDefault="004303B8" w:rsidP="007E15DE">
      <w:pPr>
        <w:pStyle w:val="Lijstalinea"/>
        <w:numPr>
          <w:ilvl w:val="0"/>
          <w:numId w:val="12"/>
        </w:numPr>
        <w:jc w:val="both"/>
      </w:pPr>
      <w:r>
        <w:t>Aanvragen of meldingen waarbij het te regulariseren gebouw vernield of beschadigd werd ten gevolge van een vreemde oorzaak die niet kan worden toegerekend aan de eigenaar (zoals stormschade, brandschade</w:t>
      </w:r>
      <w:r w:rsidR="00E164F5">
        <w:t>, schade door overstroming). De </w:t>
      </w:r>
      <w:r>
        <w:t xml:space="preserve">schade dient te worden aangetoond. </w:t>
      </w:r>
    </w:p>
    <w:p w:rsidR="00EC2E61" w:rsidRDefault="004303B8" w:rsidP="007E15DE">
      <w:pPr>
        <w:pStyle w:val="Lijstalinea"/>
        <w:numPr>
          <w:ilvl w:val="0"/>
          <w:numId w:val="12"/>
        </w:numPr>
        <w:jc w:val="both"/>
      </w:pPr>
      <w:r>
        <w:t>Aanvragen/ meldingen voor de regularisatie van tijdelijke bouwwerken, met name die na maximum één jaar vanaf hun oprichting gesloopt worden.</w:t>
      </w:r>
    </w:p>
    <w:p w:rsidR="00EC2E61" w:rsidRDefault="004303B8" w:rsidP="007E15DE">
      <w:pPr>
        <w:jc w:val="both"/>
      </w:pPr>
      <w:r>
        <w:t xml:space="preserve">De vrijstellingen stellen de aanvrager niet vrij van de betaling van overige belastingen. </w:t>
      </w:r>
    </w:p>
    <w:p w:rsidR="00EC2E61" w:rsidRDefault="00EC2E61" w:rsidP="007E15DE">
      <w:pPr>
        <w:jc w:val="both"/>
      </w:pPr>
    </w:p>
    <w:p w:rsidR="00EC2E61" w:rsidRDefault="004303B8" w:rsidP="007E15DE">
      <w:pPr>
        <w:jc w:val="both"/>
        <w:rPr>
          <w:b/>
        </w:rPr>
      </w:pPr>
      <w:r>
        <w:rPr>
          <w:b/>
        </w:rPr>
        <w:t>Artikel 2</w:t>
      </w:r>
    </w:p>
    <w:p w:rsidR="00EC2E61" w:rsidRDefault="004303B8" w:rsidP="007E15DE">
      <w:pPr>
        <w:jc w:val="both"/>
      </w:pPr>
      <w:r>
        <w:t xml:space="preserve">De belasting is verschuldigd na het indienen van een aanvraag of melding en wordt door de aanvrager vereffend na toezending van de factuur door het </w:t>
      </w:r>
      <w:r w:rsidR="00633905">
        <w:t>gemeentebestuur van </w:t>
      </w:r>
      <w:r>
        <w:t>Hoeilaart.</w:t>
      </w:r>
    </w:p>
    <w:p w:rsidR="00EC2E61" w:rsidRDefault="00EC2E61" w:rsidP="007E15DE">
      <w:pPr>
        <w:jc w:val="both"/>
      </w:pPr>
    </w:p>
    <w:p w:rsidR="00EC2E61" w:rsidRDefault="004303B8" w:rsidP="007E15DE">
      <w:pPr>
        <w:jc w:val="both"/>
        <w:rPr>
          <w:b/>
        </w:rPr>
      </w:pPr>
      <w:r>
        <w:rPr>
          <w:b/>
        </w:rPr>
        <w:t>Artikel 3</w:t>
      </w:r>
    </w:p>
    <w:p w:rsidR="00EC2E61" w:rsidRDefault="004303B8" w:rsidP="007E15DE">
      <w:pPr>
        <w:jc w:val="both"/>
      </w:pPr>
      <w:r>
        <w:t>De belasting is slechts voor 50% verschuldigd indien de melding of aanvraag wordt afgewezen als onontvankelijk of ten gronde volledig wordt geweigerd.</w:t>
      </w:r>
    </w:p>
    <w:p w:rsidR="00EC2E61" w:rsidRDefault="00EC2E61" w:rsidP="007E15DE">
      <w:pPr>
        <w:jc w:val="both"/>
        <w:rPr>
          <w:b/>
        </w:rPr>
      </w:pPr>
    </w:p>
    <w:p w:rsidR="00EC2E61" w:rsidRDefault="004303B8" w:rsidP="007E15DE">
      <w:pPr>
        <w:jc w:val="both"/>
        <w:rPr>
          <w:b/>
        </w:rPr>
      </w:pPr>
      <w:r>
        <w:rPr>
          <w:b/>
        </w:rPr>
        <w:t>Artikel 4</w:t>
      </w:r>
    </w:p>
    <w:p w:rsidR="00EC2E61" w:rsidRDefault="004303B8" w:rsidP="007E15DE">
      <w:pPr>
        <w:jc w:val="both"/>
      </w:pPr>
      <w:r>
        <w:t>De kohierbelasting waarvan spraken in artikel 2 moet</w:t>
      </w:r>
      <w:r w:rsidR="00633905">
        <w:t xml:space="preserve"> betaald worden binnen twee </w:t>
      </w:r>
      <w:r>
        <w:t>maanden na de toezending van het aanslagbiljet.</w:t>
      </w:r>
    </w:p>
    <w:p w:rsidR="00EC2E61" w:rsidRDefault="00EC2E61" w:rsidP="007E15DE">
      <w:pPr>
        <w:jc w:val="both"/>
      </w:pPr>
    </w:p>
    <w:p w:rsidR="00EC2E61" w:rsidRDefault="004303B8" w:rsidP="007E15DE">
      <w:pPr>
        <w:jc w:val="both"/>
        <w:rPr>
          <w:b/>
        </w:rPr>
      </w:pPr>
      <w:r>
        <w:rPr>
          <w:b/>
        </w:rPr>
        <w:lastRenderedPageBreak/>
        <w:t>Artikel 5</w:t>
      </w:r>
    </w:p>
    <w:p w:rsidR="00EC2E61" w:rsidRDefault="004303B8" w:rsidP="007E15DE">
      <w:pPr>
        <w:jc w:val="both"/>
      </w:pPr>
      <w:r>
        <w:t xml:space="preserve">Bij gebreke van betaling wordt de belasting ingevorderd bij wege van een kohier dat vastgesteld en uitvoerbaar verklaard wordt door </w:t>
      </w:r>
      <w:r w:rsidR="00633905">
        <w:t>het college van burgemeester en </w:t>
      </w:r>
      <w:r>
        <w:t xml:space="preserve">schepenen. </w:t>
      </w:r>
    </w:p>
    <w:p w:rsidR="00EC2E61" w:rsidRDefault="00EC2E61" w:rsidP="007E15DE">
      <w:pPr>
        <w:jc w:val="both"/>
      </w:pPr>
    </w:p>
    <w:p w:rsidR="00EC2E61" w:rsidRDefault="004303B8" w:rsidP="007E15DE">
      <w:pPr>
        <w:jc w:val="both"/>
      </w:pPr>
      <w:r>
        <w:rPr>
          <w:b/>
        </w:rPr>
        <w:t>Artikel 6</w:t>
      </w:r>
    </w:p>
    <w:p w:rsidR="00EC2E61" w:rsidRDefault="004303B8" w:rsidP="007E15DE">
      <w:pPr>
        <w:jc w:val="both"/>
      </w:pPr>
      <w:r>
        <w:t>De belastingschuldige kan een bezwaar indienen tegen deze belasting bij het college van burgemeester en schepenen.</w:t>
      </w:r>
    </w:p>
    <w:p w:rsidR="00EC2E61" w:rsidRDefault="004303B8" w:rsidP="007E15DE">
      <w:pPr>
        <w:jc w:val="both"/>
      </w:pPr>
      <w:r>
        <w:t>Het bezwaarschrift moet, op straffe van nietigheid, schriftelijk worden ingediend en worden gemotiveerd. De indiening kan gebeuren door verzending of door overhandiging.</w:t>
      </w:r>
    </w:p>
    <w:p w:rsidR="00EC2E61" w:rsidRDefault="004303B8" w:rsidP="007E15DE">
      <w:pPr>
        <w:jc w:val="both"/>
      </w:pPr>
      <w:r>
        <w:t xml:space="preserve">Deze indiening moet, op straffe van verval, gebeuren binnen een termijn van drie maanden vanaf de derde werkdag volgend op de verzending </w:t>
      </w:r>
      <w:r w:rsidR="00633905">
        <w:t>van het aanslagbiljet waarop de </w:t>
      </w:r>
      <w:r>
        <w:t>bezwaartermijn vermeld staat.</w:t>
      </w:r>
    </w:p>
    <w:p w:rsidR="00EC2E61" w:rsidRDefault="004303B8" w:rsidP="007E15DE">
      <w:pPr>
        <w:jc w:val="both"/>
      </w:pPr>
      <w:r>
        <w:t>Van het bezwaarschrift wordt een ontvangstbewijs afgeleverd, binnen 15 kalenderdagen na de indiening ervan.</w:t>
      </w:r>
    </w:p>
    <w:p w:rsidR="00EC2E61" w:rsidRDefault="00EC2E61" w:rsidP="007E15DE">
      <w:pPr>
        <w:jc w:val="both"/>
      </w:pPr>
    </w:p>
    <w:p w:rsidR="00EC2E61" w:rsidRDefault="004303B8" w:rsidP="007E15DE">
      <w:pPr>
        <w:jc w:val="both"/>
        <w:rPr>
          <w:b/>
        </w:rPr>
      </w:pPr>
      <w:r>
        <w:rPr>
          <w:b/>
        </w:rPr>
        <w:t>Artikel 7</w:t>
      </w:r>
    </w:p>
    <w:p w:rsidR="00EC2E61" w:rsidRDefault="004303B8" w:rsidP="007E15DE">
      <w:pPr>
        <w:jc w:val="both"/>
      </w:pPr>
      <w:r>
        <w:t>Zonder afbreuk te doen aan de bepalingen van het</w:t>
      </w:r>
      <w:r w:rsidR="00633905">
        <w:t xml:space="preserve"> decreet van 30 mei 2008 (zoals </w:t>
      </w:r>
      <w:r>
        <w:t>gewijzigd bij decreet van 28 mei 2010), zijn de bepalingen van titel VII, hoofdstukken 1, 3, 4 en 6 tot en met 9bis van het Wetboek van de inkomstenbelastingen en de artikelen 126 tot 175 van het uitvoeringsbesluit van dit wetboek van toepassing voor zover zij met name niet de belastingen op inkomsten betreffen.</w:t>
      </w:r>
    </w:p>
    <w:p w:rsidR="00EC2E61" w:rsidRDefault="00EC2E61" w:rsidP="007E15DE">
      <w:pPr>
        <w:jc w:val="both"/>
      </w:pPr>
    </w:p>
    <w:p w:rsidR="00EC2E61" w:rsidRDefault="004303B8" w:rsidP="007E15DE">
      <w:pPr>
        <w:jc w:val="both"/>
      </w:pPr>
      <w:r>
        <w:rPr>
          <w:b/>
        </w:rPr>
        <w:t>Artikel 8</w:t>
      </w:r>
    </w:p>
    <w:p w:rsidR="00EC2E61" w:rsidRDefault="004303B8" w:rsidP="007E15DE">
      <w:pPr>
        <w:jc w:val="both"/>
      </w:pPr>
      <w:r>
        <w:t xml:space="preserve">Dit reglement treedt in werking vanaf 1 juni 2019. </w:t>
      </w:r>
    </w:p>
    <w:p w:rsidR="00EC2E61" w:rsidRDefault="00EC2E61" w:rsidP="007E15DE">
      <w:pPr>
        <w:jc w:val="both"/>
        <w:rPr>
          <w:b/>
        </w:rPr>
      </w:pPr>
    </w:p>
    <w:p w:rsidR="00EC2E61" w:rsidRDefault="004303B8" w:rsidP="007E15DE">
      <w:pPr>
        <w:jc w:val="both"/>
      </w:pPr>
      <w:r>
        <w:rPr>
          <w:b/>
        </w:rPr>
        <w:t>Artikel 9</w:t>
      </w:r>
    </w:p>
    <w:p w:rsidR="00EC2E61" w:rsidRDefault="004303B8" w:rsidP="007E15DE">
      <w:pPr>
        <w:jc w:val="both"/>
      </w:pPr>
      <w:r>
        <w:t xml:space="preserve">§ 1. Het </w:t>
      </w:r>
      <w:r w:rsidR="00633905">
        <w:t>belastingreglement, goedgekeurd</w:t>
      </w:r>
      <w:r>
        <w:t xml:space="preserve"> door de gemeenteraad op 17 december 2018, betreffende de belasting op de afgifte van regularisati</w:t>
      </w:r>
      <w:r w:rsidR="00633905">
        <w:t>evergunningen, hernieuwing 2019</w:t>
      </w:r>
      <w:r w:rsidR="00633905">
        <w:noBreakHyphen/>
      </w:r>
      <w:bookmarkStart w:id="0" w:name="_GoBack"/>
      <w:bookmarkEnd w:id="0"/>
      <w:r>
        <w:t xml:space="preserve">2021, wordt opgeheven daar dit opgenomen wordt in onderhavig reglement. </w:t>
      </w:r>
    </w:p>
    <w:p w:rsidR="00EC2E61" w:rsidRDefault="00EC2E61" w:rsidP="007E15DE">
      <w:pPr>
        <w:jc w:val="both"/>
      </w:pPr>
    </w:p>
    <w:p w:rsidR="00EC2E61" w:rsidRDefault="004303B8" w:rsidP="007E15DE">
      <w:pPr>
        <w:jc w:val="both"/>
      </w:pPr>
      <w:r>
        <w:t xml:space="preserve">§2. Het belastingreglement, goedgekeurd door de gemeenteraad op 17 december 2018 betreffende de afgifte van een omgevingsvergunning voor het verkavelen van gronden, hernieuwing periode 2019-2021, wordt opgeheven daar dit opgenomen wordt in onderhavig reglement. </w:t>
      </w:r>
    </w:p>
    <w:p w:rsidR="00EC2E61" w:rsidRDefault="004303B8" w:rsidP="007E15DE">
      <w:pPr>
        <w:jc w:val="both"/>
      </w:pPr>
      <w:r>
        <w:t xml:space="preserve"> </w:t>
      </w:r>
    </w:p>
    <w:p w:rsidR="00EC2E61" w:rsidRDefault="004303B8" w:rsidP="007E15DE">
      <w:pPr>
        <w:jc w:val="both"/>
        <w:rPr>
          <w:b/>
        </w:rPr>
      </w:pPr>
      <w:r>
        <w:rPr>
          <w:b/>
        </w:rPr>
        <w:t>Artikel 10</w:t>
      </w:r>
    </w:p>
    <w:p w:rsidR="00EC2E61" w:rsidRDefault="004303B8" w:rsidP="007E15DE">
      <w:pPr>
        <w:jc w:val="both"/>
      </w:pPr>
      <w:r>
        <w:t xml:space="preserve">Deze verordening wordt aan de toezichthoudende overheid toegezonden. </w:t>
      </w:r>
    </w:p>
    <w:p w:rsidR="00E86F4D" w:rsidRPr="000F582B" w:rsidRDefault="00C062FB" w:rsidP="007E15DE">
      <w:pPr>
        <w:jc w:val="both"/>
      </w:pPr>
    </w:p>
    <w:sectPr w:rsidR="00E86F4D" w:rsidRPr="000F582B" w:rsidSect="005F1DDA">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FB" w:rsidRDefault="00C062FB">
      <w:r>
        <w:separator/>
      </w:r>
    </w:p>
  </w:endnote>
  <w:endnote w:type="continuationSeparator" w:id="0">
    <w:p w:rsidR="00C062FB" w:rsidRDefault="00C0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FB" w:rsidRDefault="00C062FB">
      <w:r>
        <w:separator/>
      </w:r>
    </w:p>
  </w:footnote>
  <w:footnote w:type="continuationSeparator" w:id="0">
    <w:p w:rsidR="00C062FB" w:rsidRDefault="00C06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DDA" w:rsidRDefault="004303B8">
    <w:pPr>
      <w:pStyle w:val="Koptekst"/>
    </w:pPr>
    <w:r>
      <w:rPr>
        <w:rFonts w:ascii="Arial" w:hAnsi="Arial" w:cs="Arial"/>
        <w:noProof/>
        <w:color w:val="000000"/>
      </w:rPr>
      <w:drawing>
        <wp:anchor distT="0" distB="180340" distL="114300" distR="114300" simplePos="0" relativeHeight="251658240" behindDoc="0" locked="0" layoutInCell="1" allowOverlap="1">
          <wp:simplePos x="0" y="0"/>
          <wp:positionH relativeFrom="page">
            <wp:posOffset>720090</wp:posOffset>
          </wp:positionH>
          <wp:positionV relativeFrom="page">
            <wp:posOffset>360045</wp:posOffset>
          </wp:positionV>
          <wp:extent cx="1440000" cy="882000"/>
          <wp:effectExtent l="0" t="0" r="8255" b="0"/>
          <wp:wrapTopAndBottom/>
          <wp:docPr id="2" name="Afbeelding 2" descr="http://ts3.mm.bing.net/th?&amp;id=HN.60803254591186555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amp;id=HN.608032545911865554&amp;w=300&amp;h=300&amp;c=0&amp;pid=1.9&amp;rs=0&amp;p=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88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styleLink w:val="BulletList"/>
    <w:lvl w:ilvl="0">
      <w:start w:val="1"/>
      <w:numFmt w:val="bullet"/>
      <w:lvlText w:val="•"/>
      <w:lvlJc w:val="left"/>
      <w:pPr>
        <w:ind w:left="720" w:hanging="360"/>
      </w:pPr>
      <w:rPr>
        <w:rFonts w:ascii="Verdana" w:eastAsia="Verdana" w:hAnsi="Verdana" w:cs="Verdana"/>
        <w:sz w:val="20"/>
        <w:szCs w:val="20"/>
      </w:rPr>
    </w:lvl>
    <w:lvl w:ilvl="1">
      <w:start w:val="1"/>
      <w:numFmt w:val="bullet"/>
      <w:lvlText w:val="○"/>
      <w:lvlJc w:val="left"/>
      <w:pPr>
        <w:ind w:left="1080" w:hanging="360"/>
      </w:pPr>
      <w:rPr>
        <w:sz w:val="20"/>
        <w:szCs w:val="20"/>
      </w:rPr>
    </w:lvl>
    <w:lvl w:ilvl="2">
      <w:start w:val="1"/>
      <w:numFmt w:val="bullet"/>
      <w:lvlText w:val="▪"/>
      <w:lvlJc w:val="left"/>
      <w:pPr>
        <w:ind w:left="1440" w:hanging="360"/>
      </w:pPr>
      <w:rPr>
        <w:sz w:val="20"/>
        <w:szCs w:val="20"/>
      </w:rPr>
    </w:lvl>
    <w:lvl w:ilvl="3">
      <w:start w:val="1"/>
      <w:numFmt w:val="bullet"/>
      <w:lvlText w:val="•"/>
      <w:lvlJc w:val="left"/>
      <w:pPr>
        <w:ind w:left="1800" w:hanging="360"/>
      </w:pPr>
      <w:rPr>
        <w:sz w:val="20"/>
        <w:szCs w:val="20"/>
      </w:rPr>
    </w:lvl>
    <w:lvl w:ilvl="4">
      <w:start w:val="1"/>
      <w:numFmt w:val="bullet"/>
      <w:lvlText w:val="○"/>
      <w:lvlJc w:val="left"/>
      <w:pPr>
        <w:ind w:left="2160" w:hanging="360"/>
      </w:pPr>
      <w:rPr>
        <w:sz w:val="20"/>
        <w:szCs w:val="20"/>
      </w:rPr>
    </w:lvl>
    <w:lvl w:ilvl="5">
      <w:start w:val="1"/>
      <w:numFmt w:val="bullet"/>
      <w:lvlText w:val="▪"/>
      <w:lvlJc w:val="left"/>
      <w:pPr>
        <w:ind w:left="2520" w:hanging="360"/>
      </w:pPr>
      <w:rPr>
        <w:sz w:val="20"/>
        <w:szCs w:val="20"/>
      </w:rPr>
    </w:lvl>
    <w:lvl w:ilvl="6">
      <w:start w:val="1"/>
      <w:numFmt w:val="bullet"/>
      <w:lvlText w:val="•"/>
      <w:lvlJc w:val="left"/>
      <w:pPr>
        <w:ind w:left="2880" w:hanging="360"/>
      </w:pPr>
      <w:rPr>
        <w:sz w:val="20"/>
        <w:szCs w:val="20"/>
      </w:rPr>
    </w:lvl>
    <w:lvl w:ilvl="7">
      <w:start w:val="1"/>
      <w:numFmt w:val="bullet"/>
      <w:lvlText w:val="○"/>
      <w:lvlJc w:val="left"/>
      <w:pPr>
        <w:ind w:left="3240" w:hanging="360"/>
      </w:pPr>
      <w:rPr>
        <w:sz w:val="20"/>
        <w:szCs w:val="20"/>
      </w:rPr>
    </w:lvl>
    <w:lvl w:ilvl="8">
      <w:start w:val="1"/>
      <w:numFmt w:val="bullet"/>
      <w:lvlText w:val="▪"/>
      <w:lvlJc w:val="left"/>
      <w:pPr>
        <w:ind w:left="3600" w:hanging="360"/>
      </w:pPr>
      <w:rPr>
        <w:sz w:val="20"/>
        <w:szCs w:val="20"/>
      </w:rPr>
    </w:lvl>
  </w:abstractNum>
  <w:abstractNum w:abstractNumId="1" w15:restartNumberingAfterBreak="0">
    <w:nsid w:val="12A31D82"/>
    <w:multiLevelType w:val="hybridMultilevel"/>
    <w:tmpl w:val="D37CD72A"/>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4187F60"/>
    <w:multiLevelType w:val="hybridMultilevel"/>
    <w:tmpl w:val="9FEE1560"/>
    <w:lvl w:ilvl="0" w:tplc="6CF42994">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EA599B"/>
    <w:multiLevelType w:val="hybridMultilevel"/>
    <w:tmpl w:val="C7ACBB08"/>
    <w:lvl w:ilvl="0" w:tplc="6CF42994">
      <w:start w:val="1"/>
      <w:numFmt w:val="bullet"/>
      <w:lvlText w:val="-"/>
      <w:lvlJc w:val="left"/>
      <w:pPr>
        <w:ind w:left="1080" w:hanging="360"/>
      </w:pPr>
      <w:rPr>
        <w:rFonts w:ascii="Simplified Arabic Fixed" w:hAnsi="Simplified Arabic Fixed"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77478B1"/>
    <w:multiLevelType w:val="hybridMultilevel"/>
    <w:tmpl w:val="FA64968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0226CE2"/>
    <w:multiLevelType w:val="hybridMultilevel"/>
    <w:tmpl w:val="C400D79E"/>
    <w:lvl w:ilvl="0" w:tplc="6CF42994">
      <w:start w:val="1"/>
      <w:numFmt w:val="bullet"/>
      <w:lvlText w:val="-"/>
      <w:lvlJc w:val="left"/>
      <w:pPr>
        <w:ind w:left="1080" w:hanging="360"/>
      </w:pPr>
      <w:rPr>
        <w:rFonts w:ascii="Simplified Arabic Fixed" w:hAnsi="Simplified Arabic Fixed"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73D55CB"/>
    <w:multiLevelType w:val="hybridMultilevel"/>
    <w:tmpl w:val="47B8E1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9867EF2"/>
    <w:multiLevelType w:val="hybridMultilevel"/>
    <w:tmpl w:val="CD26E7A4"/>
    <w:lvl w:ilvl="0" w:tplc="99140CDA">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91F7E7F"/>
    <w:multiLevelType w:val="hybridMultilevel"/>
    <w:tmpl w:val="4D424C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C44091C"/>
    <w:multiLevelType w:val="hybridMultilevel"/>
    <w:tmpl w:val="3C96C33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E77F0B"/>
    <w:multiLevelType w:val="hybridMultilevel"/>
    <w:tmpl w:val="16ECBA9C"/>
    <w:lvl w:ilvl="0" w:tplc="6CF42994">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F76E5B"/>
    <w:multiLevelType w:val="hybridMultilevel"/>
    <w:tmpl w:val="C38685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5"/>
  </w:num>
  <w:num w:numId="6">
    <w:abstractNumId w:val="9"/>
  </w:num>
  <w:num w:numId="7">
    <w:abstractNumId w:val="7"/>
  </w:num>
  <w:num w:numId="8">
    <w:abstractNumId w:val="4"/>
  </w:num>
  <w:num w:numId="9">
    <w:abstractNumId w:val="1"/>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61"/>
    <w:rsid w:val="004303B8"/>
    <w:rsid w:val="0046126D"/>
    <w:rsid w:val="004B56F0"/>
    <w:rsid w:val="00633905"/>
    <w:rsid w:val="007E15DE"/>
    <w:rsid w:val="00C062FB"/>
    <w:rsid w:val="00CC2221"/>
    <w:rsid w:val="00E164F5"/>
    <w:rsid w:val="00EC2E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CA933A-807B-425E-85A9-73D6DBE9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2C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F1DDA"/>
    <w:pPr>
      <w:tabs>
        <w:tab w:val="center" w:pos="4536"/>
        <w:tab w:val="right" w:pos="9072"/>
      </w:tabs>
    </w:pPr>
  </w:style>
  <w:style w:type="character" w:customStyle="1" w:styleId="KoptekstChar">
    <w:name w:val="Koptekst Char"/>
    <w:basedOn w:val="Standaardalinea-lettertype"/>
    <w:link w:val="Koptekst"/>
    <w:rsid w:val="005F1DDA"/>
    <w:rPr>
      <w:rFonts w:ascii="Verdana" w:hAnsi="Verdana"/>
      <w:szCs w:val="24"/>
    </w:rPr>
  </w:style>
  <w:style w:type="paragraph" w:styleId="Voettekst">
    <w:name w:val="footer"/>
    <w:basedOn w:val="Standaard"/>
    <w:link w:val="VoettekstChar"/>
    <w:rsid w:val="005F1DDA"/>
    <w:pPr>
      <w:tabs>
        <w:tab w:val="center" w:pos="4536"/>
        <w:tab w:val="right" w:pos="9072"/>
      </w:tabs>
    </w:pPr>
  </w:style>
  <w:style w:type="character" w:customStyle="1" w:styleId="VoettekstChar">
    <w:name w:val="Voettekst Char"/>
    <w:basedOn w:val="Standaardalinea-lettertype"/>
    <w:link w:val="Voettekst"/>
    <w:rsid w:val="005F1DDA"/>
    <w:rPr>
      <w:rFonts w:ascii="Verdana" w:hAnsi="Verdana"/>
      <w:szCs w:val="24"/>
    </w:rPr>
  </w:style>
  <w:style w:type="paragraph" w:customStyle="1" w:styleId="Normal11">
    <w:name w:val="Normal_1_1"/>
    <w:qFormat/>
    <w:rsid w:val="00303897"/>
    <w:rPr>
      <w:sz w:val="16"/>
    </w:rPr>
  </w:style>
  <w:style w:type="table" w:styleId="Tabelraster">
    <w:name w:val="Table Grid"/>
    <w:basedOn w:val="Standaardtabel"/>
    <w:rsid w:val="00663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1">
    <w:name w:val="Default Paragraph Font_1"/>
    <w:uiPriority w:val="1"/>
    <w:semiHidden/>
    <w:unhideWhenUsed/>
    <w:rPr>
      <w:rFonts w:cs="Verdana"/>
    </w:rPr>
  </w:style>
  <w:style w:type="character" w:customStyle="1" w:styleId="DefaultParagraphFont2">
    <w:name w:val="Default Paragraph Font_2"/>
    <w:uiPriority w:val="1"/>
    <w:semiHidden/>
    <w:unhideWhenUsed/>
    <w:rPr>
      <w:rFonts w:cs="Verdana"/>
    </w:rPr>
  </w:style>
  <w:style w:type="character" w:customStyle="1" w:styleId="DefaultParagraphFont3">
    <w:name w:val="Default Paragraph Font_3"/>
    <w:uiPriority w:val="1"/>
    <w:semiHidden/>
    <w:unhideWhenUsed/>
    <w:rPr>
      <w:rFonts w:cs="Verdana"/>
    </w:rPr>
  </w:style>
  <w:style w:type="numbering" w:customStyle="1" w:styleId="BulletList">
    <w:name w:val="BulletList"/>
    <w:uiPriority w:val="34"/>
    <w:qFormat/>
    <w:pPr>
      <w:numPr>
        <w:numId w:val="1"/>
      </w:numPr>
    </w:pPr>
  </w:style>
  <w:style w:type="character" w:customStyle="1" w:styleId="DefaultParagraphFont4">
    <w:name w:val="Default Paragraph Font_4"/>
    <w:uiPriority w:val="1"/>
    <w:semiHidden/>
    <w:unhideWhenUsed/>
    <w:rPr>
      <w:rFonts w:cs="Verdana"/>
    </w:rPr>
  </w:style>
  <w:style w:type="character" w:customStyle="1" w:styleId="DefaultParagraphFont5">
    <w:name w:val="Default Paragraph Font_5"/>
    <w:uiPriority w:val="1"/>
    <w:semiHidden/>
    <w:unhideWhenUsed/>
    <w:rPr>
      <w:rFonts w:cs="Verdana"/>
    </w:rPr>
  </w:style>
  <w:style w:type="character" w:customStyle="1" w:styleId="DefaultParagraphFont6">
    <w:name w:val="Default Paragraph Font_6"/>
    <w:uiPriority w:val="1"/>
    <w:semiHidden/>
    <w:unhideWhenUsed/>
    <w:rPr>
      <w:rFonts w:cs="Verdana"/>
    </w:rPr>
  </w:style>
  <w:style w:type="character" w:customStyle="1" w:styleId="DefaultParagraphFont7">
    <w:name w:val="Default Paragraph Font_7"/>
    <w:uiPriority w:val="1"/>
    <w:semiHidden/>
    <w:unhideWhenUsed/>
    <w:rPr>
      <w:rFonts w:cs="Verdana"/>
    </w:rPr>
  </w:style>
  <w:style w:type="paragraph" w:styleId="Lijstalinea">
    <w:name w:val="List Paragraph"/>
    <w:basedOn w:val="Standaard"/>
    <w:uiPriority w:val="34"/>
    <w:qFormat/>
    <w:rsid w:val="007E1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1095</Words>
  <Characters>6028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Dewit</dc:creator>
  <cp:lastModifiedBy>Barbara Van Tilt</cp:lastModifiedBy>
  <cp:revision>4</cp:revision>
  <dcterms:created xsi:type="dcterms:W3CDTF">2019-06-12T12:40:00Z</dcterms:created>
  <dcterms:modified xsi:type="dcterms:W3CDTF">2019-06-12T12:55:00Z</dcterms:modified>
</cp:coreProperties>
</file>